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A3F06" w:rsidRDefault="00F40C8C">
      <w:pPr>
        <w:rPr>
          <w:b/>
          <w:bCs/>
          <w:sz w:val="22"/>
        </w:rPr>
      </w:pPr>
      <w:r>
        <w:rPr>
          <w:b/>
          <w:bCs/>
          <w:sz w:val="22"/>
        </w:rPr>
        <w:t xml:space="preserve">Gesetz über </w:t>
      </w:r>
      <w:proofErr w:type="spellStart"/>
      <w:r>
        <w:rPr>
          <w:b/>
          <w:bCs/>
          <w:sz w:val="22"/>
        </w:rPr>
        <w:t>eGovernment</w:t>
      </w:r>
      <w:proofErr w:type="spellEnd"/>
      <w:r>
        <w:rPr>
          <w:b/>
          <w:bCs/>
          <w:sz w:val="22"/>
        </w:rPr>
        <w:t xml:space="preserve"> und Informatik (</w:t>
      </w:r>
      <w:proofErr w:type="spellStart"/>
      <w:r>
        <w:rPr>
          <w:b/>
          <w:bCs/>
          <w:sz w:val="22"/>
        </w:rPr>
        <w:t>eGovG</w:t>
      </w:r>
      <w:proofErr w:type="spellEnd"/>
      <w:r>
        <w:rPr>
          <w:b/>
          <w:bCs/>
          <w:sz w:val="22"/>
        </w:rPr>
        <w:t>); Teilrevision</w:t>
      </w:r>
    </w:p>
    <w:p w:rsidR="00ED15ED" w:rsidRDefault="00ED15ED">
      <w:pPr>
        <w:rPr>
          <w:b/>
          <w:bCs/>
          <w:sz w:val="22"/>
        </w:rPr>
      </w:pPr>
    </w:p>
    <w:p w:rsidR="00AB18D4" w:rsidRPr="00ED15ED" w:rsidRDefault="00ED15ED">
      <w:pPr>
        <w:rPr>
          <w:b/>
          <w:bCs/>
          <w:sz w:val="22"/>
        </w:rPr>
      </w:pPr>
      <w:r w:rsidRPr="00ED15ED">
        <w:rPr>
          <w:b/>
          <w:bCs/>
          <w:sz w:val="22"/>
        </w:rPr>
        <w:t>Tabelle für Vernehmlassungsantworten</w:t>
      </w:r>
      <w:r w:rsidR="000553E4">
        <w:rPr>
          <w:b/>
          <w:bCs/>
          <w:sz w:val="22"/>
        </w:rPr>
        <w:t xml:space="preserve"> (Antwortformular)</w:t>
      </w:r>
    </w:p>
    <w:p w:rsidR="003A3F06" w:rsidRDefault="003A3F06"/>
    <w:p w:rsidR="003A3F06" w:rsidRDefault="00F40C8C">
      <w:pPr>
        <w:pStyle w:val="ZusammenfassungEinleitung"/>
      </w:pPr>
      <w:r>
        <w:t>Von diesem Geschäft tangierte Erlasse (bGS Nummern)</w:t>
      </w:r>
    </w:p>
    <w:p w:rsidR="003A3F06" w:rsidRDefault="00F40C8C">
      <w:pPr>
        <w:pStyle w:val="ZusammenfassungneueErlasse"/>
      </w:pPr>
      <w:r>
        <w:t>Neu:</w:t>
      </w:r>
      <w:r>
        <w:tab/>
        <w:t>–</w:t>
      </w:r>
    </w:p>
    <w:p w:rsidR="003A3F06" w:rsidRDefault="00F40C8C">
      <w:pPr>
        <w:pStyle w:val="ZusammenfassunggenderteErlasse"/>
      </w:pPr>
      <w:r>
        <w:t>Geändert:</w:t>
      </w:r>
      <w:r>
        <w:tab/>
      </w:r>
      <w:r>
        <w:rPr>
          <w:rStyle w:val="ZusammenfassungHauptnderung"/>
        </w:rPr>
        <w:t>142.3</w:t>
      </w:r>
    </w:p>
    <w:p w:rsidR="003A3F06" w:rsidRDefault="00F40C8C">
      <w:pPr>
        <w:pStyle w:val="ZusammenfassungaufgehobeneErlasse"/>
      </w:pPr>
      <w:r>
        <w:t>Aufgehoben:</w:t>
      </w:r>
      <w:r>
        <w:tab/>
        <w:t>–</w:t>
      </w:r>
    </w:p>
    <w:tbl>
      <w:tblPr>
        <w:tblW w:w="0pt" w:type="dxa"/>
        <w:tblLayout w:type="fixed"/>
        <w:tblCellMar>
          <w:top w:w="5.40pt" w:type="dxa"/>
          <w:bottom w:w="5.40pt" w:type="dxa"/>
        </w:tblCellMar>
        <w:tblLook w:firstRow="0" w:lastRow="0" w:firstColumn="0" w:lastColumn="0" w:noHBand="0" w:noVBand="0"/>
      </w:tblPr>
      <w:tblGrid>
        <w:gridCol w:w="4951"/>
        <w:gridCol w:w="4951"/>
        <w:gridCol w:w="4952"/>
      </w:tblGrid>
      <w:tr w:rsidR="003A3F06">
        <w:trPr>
          <w:tblHeader/>
        </w:trPr>
        <w:tc>
          <w:tcPr>
            <w:tcW w:w="24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A3F06" w:rsidRDefault="00F40C8C">
            <w:pPr>
              <w:pStyle w:val="TableContents"/>
            </w:pPr>
            <w:r>
              <w:rPr>
                <w:b/>
                <w:sz w:val="22"/>
              </w:rPr>
              <w:t>Geltendes Recht</w:t>
            </w:r>
          </w:p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A3F06" w:rsidRDefault="00F40C8C" w:rsidP="00752983">
            <w:pPr>
              <w:pStyle w:val="TableContents"/>
            </w:pPr>
            <w:proofErr w:type="spellStart"/>
            <w:r>
              <w:rPr>
                <w:b/>
                <w:sz w:val="22"/>
              </w:rPr>
              <w:t>Vernehmlassungsentwurf</w:t>
            </w:r>
            <w:proofErr w:type="spellEnd"/>
            <w:r>
              <w:rPr>
                <w:b/>
                <w:sz w:val="22"/>
              </w:rPr>
              <w:t xml:space="preserve"> Regierungsrat, 12.</w:t>
            </w:r>
            <w:r w:rsidR="00752983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Dezember 2023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0E0E0"/>
            <w:vAlign w:val="center"/>
          </w:tcPr>
          <w:p w:rsidR="003A3F06" w:rsidRDefault="00626B63" w:rsidP="00626B63">
            <w:pPr>
              <w:pStyle w:val="TableContents"/>
            </w:pPr>
            <w:r>
              <w:rPr>
                <w:b/>
                <w:sz w:val="22"/>
              </w:rPr>
              <w:t>Vernehmlassung</w:t>
            </w:r>
            <w:r w:rsidR="00ED15ED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antworten</w:t>
            </w:r>
          </w:p>
        </w:tc>
      </w:tr>
      <w:tr w:rsidR="003A3F06"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3A3F06"/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F40C8C">
            <w:pPr>
              <w:pStyle w:val="Abschnittstitel"/>
            </w:pPr>
            <w:r>
              <w:t>I.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FFFF"/>
          </w:tcPr>
          <w:p w:rsidR="003A3F06" w:rsidRDefault="003A3F06"/>
        </w:tc>
      </w:tr>
      <w:tr w:rsidR="003A3F06"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3A3F06"/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F40C8C">
            <w:pPr>
              <w:pStyle w:val="Nebenzitat"/>
            </w:pPr>
            <w:r>
              <w:t xml:space="preserve">Der Erlass «Gesetz über </w:t>
            </w:r>
            <w:proofErr w:type="spellStart"/>
            <w:r>
              <w:t>eGovernment</w:t>
            </w:r>
            <w:proofErr w:type="spellEnd"/>
            <w:r>
              <w:t xml:space="preserve"> und Informatik (</w:t>
            </w:r>
            <w:proofErr w:type="spellStart"/>
            <w:r>
              <w:t>eGovG</w:t>
            </w:r>
            <w:proofErr w:type="spellEnd"/>
            <w:r>
              <w:t xml:space="preserve">; bGS </w:t>
            </w:r>
            <w:hyperlink r:id="rId7" w:history="1">
              <w:r>
                <w:rPr>
                  <w:rStyle w:val="Hyperlink"/>
                </w:rPr>
                <w:t>142.3</w:t>
              </w:r>
            </w:hyperlink>
            <w:r>
              <w:t>) vom 4. Juni 2012 (Stand 14. Juni 2019)» wird wie folgt geändert: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FFFF"/>
          </w:tcPr>
          <w:p w:rsidR="003A3F06" w:rsidRDefault="003A3F06"/>
        </w:tc>
      </w:tr>
      <w:tr w:rsidR="003A3F06">
        <w:trPr>
          <w:cantSplit/>
        </w:trPr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TableContents"/>
            </w:pPr>
            <w:r>
              <w:rPr>
                <w:b/>
                <w:bCs/>
              </w:rPr>
              <w:t>Art.  5</w:t>
            </w:r>
            <w:r>
              <w:br/>
            </w:r>
            <w:r>
              <w:rPr>
                <w:sz w:val="14"/>
              </w:rPr>
              <w:t>Grundbedarf</w:t>
            </w:r>
          </w:p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3A3F06" w:rsidRDefault="003A3F06">
            <w:pPr>
              <w:pStyle w:val="TableContents"/>
            </w:pP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3A3F06"/>
        </w:tc>
      </w:tr>
      <w:tr w:rsidR="003A3F06">
        <w:trPr>
          <w:cantSplit/>
        </w:trPr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TableContents"/>
            </w:pPr>
            <w:r>
              <w:rPr>
                <w:vertAlign w:val="superscript"/>
              </w:rPr>
              <w:t>1</w:t>
            </w:r>
            <w:r>
              <w:t> Der Kanton und die Gemeinden decken ihren Grundbedarf an Informatik- und Kommunikationsmitteln beim gemeinsamen Informatikbetrieb.</w:t>
            </w:r>
          </w:p>
        </w:tc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3A3F06">
            <w:pPr>
              <w:pStyle w:val="TableContents"/>
            </w:pPr>
          </w:p>
        </w:tc>
        <w:tc>
          <w:tcPr>
            <w:tcW w:w="247.6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3A3F06"/>
        </w:tc>
      </w:tr>
      <w:tr w:rsidR="003A3F06">
        <w:trPr>
          <w:cantSplit/>
        </w:trPr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TableContents"/>
            </w:pPr>
            <w:r>
              <w:rPr>
                <w:vertAlign w:val="superscript"/>
              </w:rPr>
              <w:t>2</w:t>
            </w:r>
            <w:r>
              <w:t xml:space="preserve"> Zum Grundbedarf gehören insbesondere die technische Basisinfrastruktur und weit verbreitete Standardanwendungen. Das Nähere bestimmt die gemeinsame </w:t>
            </w:r>
            <w:proofErr w:type="spellStart"/>
            <w:r>
              <w:t>eGovernment</w:t>
            </w:r>
            <w:proofErr w:type="spellEnd"/>
            <w:r>
              <w:t>- und Informatikstrategie.</w:t>
            </w:r>
          </w:p>
        </w:tc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3A3F06">
            <w:pPr>
              <w:pStyle w:val="TableContents"/>
            </w:pPr>
          </w:p>
        </w:tc>
        <w:tc>
          <w:tcPr>
            <w:tcW w:w="247.6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3A3F06"/>
        </w:tc>
      </w:tr>
      <w:tr w:rsidR="003A3F06">
        <w:trPr>
          <w:cantSplit/>
        </w:trPr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TableContents"/>
            </w:pPr>
            <w:r>
              <w:rPr>
                <w:vertAlign w:val="superscript"/>
              </w:rPr>
              <w:t>3</w:t>
            </w:r>
            <w:r>
              <w:t> Ausgaben für den Grundbedarf gelten als gebunden.</w:t>
            </w:r>
          </w:p>
        </w:tc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3A3F06">
            <w:pPr>
              <w:pStyle w:val="TableContents"/>
            </w:pPr>
          </w:p>
        </w:tc>
        <w:tc>
          <w:tcPr>
            <w:tcW w:w="247.6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3A3F06"/>
        </w:tc>
      </w:tr>
      <w:tr w:rsidR="003A3F06">
        <w:trPr>
          <w:cantSplit/>
        </w:trPr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TableContents"/>
            </w:pPr>
            <w:r>
              <w:rPr>
                <w:vertAlign w:val="superscript"/>
              </w:rPr>
              <w:t>4</w:t>
            </w:r>
            <w:r>
              <w:t> …</w:t>
            </w:r>
          </w:p>
        </w:tc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3A3F06">
            <w:pPr>
              <w:pStyle w:val="TableContents"/>
            </w:pPr>
          </w:p>
        </w:tc>
        <w:tc>
          <w:tcPr>
            <w:tcW w:w="247.6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3A3F06"/>
        </w:tc>
      </w:tr>
      <w:tr w:rsidR="003A3F06">
        <w:trPr>
          <w:cantSplit/>
        </w:trPr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3A3F06">
            <w:pPr>
              <w:pStyle w:val="TableContents"/>
            </w:pPr>
          </w:p>
        </w:tc>
        <w:tc>
          <w:tcPr>
            <w:tcW w:w="247.55pt" w:type="dxa"/>
            <w:tcBorders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TableContents"/>
            </w:pPr>
            <w:r>
              <w:rPr>
                <w:vertAlign w:val="superscript"/>
              </w:rPr>
              <w:t>5</w:t>
            </w:r>
            <w:r>
              <w:t> Der Regierungsrat kann die Bezugsverpflichtung für selbständige Anstalten ganz oder teilweise aufheben, soweit dies für die Zusammenarbeit mit nicht dem Gesetz unterstellten Organisationen erforderlich ist.</w:t>
            </w:r>
          </w:p>
        </w:tc>
        <w:tc>
          <w:tcPr>
            <w:tcW w:w="247.6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3A3F06"/>
        </w:tc>
      </w:tr>
      <w:tr w:rsidR="003A3F06"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3A3F06"/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F40C8C">
            <w:pPr>
              <w:pStyle w:val="Abschnittstitel"/>
            </w:pPr>
            <w:r>
              <w:t>II.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FFFF"/>
          </w:tcPr>
          <w:p w:rsidR="003A3F06" w:rsidRDefault="003A3F06"/>
        </w:tc>
      </w:tr>
      <w:tr w:rsidR="003A3F06"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EmptySectionRemark"/>
            </w:pPr>
            <w:r>
              <w:t>     </w:t>
            </w:r>
          </w:p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EmptySectionRemark"/>
            </w:pPr>
            <w:r>
              <w:t>Keine Fremdänderungen.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F40C8C">
            <w:pPr>
              <w:pStyle w:val="EmptySectionRemark"/>
            </w:pPr>
            <w:r>
              <w:t>     </w:t>
            </w:r>
          </w:p>
        </w:tc>
      </w:tr>
      <w:tr w:rsidR="003A3F06"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3A3F06"/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F40C8C">
            <w:pPr>
              <w:pStyle w:val="Abschnittstitel"/>
            </w:pPr>
            <w:r>
              <w:t>III.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FFFF"/>
          </w:tcPr>
          <w:p w:rsidR="003A3F06" w:rsidRDefault="003A3F06"/>
        </w:tc>
      </w:tr>
      <w:tr w:rsidR="003A3F06"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EmptySectionRemark"/>
            </w:pPr>
            <w:r>
              <w:t>     </w:t>
            </w:r>
          </w:p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3A3F06" w:rsidRDefault="00F40C8C">
            <w:pPr>
              <w:pStyle w:val="EmptySectionRemark"/>
            </w:pPr>
            <w:r>
              <w:t>Keine Fremdaufhebungen.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F40C8C">
            <w:pPr>
              <w:pStyle w:val="EmptySectionRemark"/>
            </w:pPr>
            <w:r>
              <w:t>     </w:t>
            </w:r>
          </w:p>
        </w:tc>
      </w:tr>
      <w:tr w:rsidR="003A3F06"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3A3F06"/>
        </w:tc>
        <w:tc>
          <w:tcPr>
            <w:tcW w:w="247.55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FFFFFF"/>
          </w:tcPr>
          <w:p w:rsidR="003A3F06" w:rsidRDefault="00F40C8C">
            <w:pPr>
              <w:pStyle w:val="Abschnittstitel"/>
            </w:pPr>
            <w:r>
              <w:t>IV.</w:t>
            </w:r>
          </w:p>
        </w:tc>
        <w:tc>
          <w:tcPr>
            <w:tcW w:w="247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FFFF"/>
          </w:tcPr>
          <w:p w:rsidR="003A3F06" w:rsidRDefault="003A3F06"/>
        </w:tc>
      </w:tr>
      <w:tr w:rsidR="003A3F06">
        <w:tc>
          <w:tcPr>
            <w:tcW w:w="247.55pt" w:type="dxa"/>
            <w:tcBorders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A3F06" w:rsidRDefault="003A3F06"/>
        </w:tc>
        <w:tc>
          <w:tcPr>
            <w:tcW w:w="247.55pt" w:type="dxa"/>
            <w:tcBorders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A3F06" w:rsidRDefault="00F40C8C">
            <w:pPr>
              <w:pStyle w:val="TableContents"/>
            </w:pPr>
            <w:r>
              <w:t>Diese Änderung untersteht dem fakultativen Referendum.</w:t>
            </w:r>
            <w:r>
              <w:br/>
              <w:t>Der Regierungsrat bestimmt das Inkrafttreten.</w:t>
            </w:r>
          </w:p>
        </w:tc>
        <w:tc>
          <w:tcPr>
            <w:tcW w:w="247.6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A3F06" w:rsidRDefault="003A3F06"/>
        </w:tc>
      </w:tr>
    </w:tbl>
    <w:p w:rsidR="003A3F06" w:rsidRDefault="003A3F06"/>
    <w:sectPr w:rsidR="003A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841.90pt" w:h="595.30pt" w:orient="landscape"/>
      <w:pgMar w:top="56.65pt" w:right="42.50pt" w:bottom="42.50pt" w:left="56.70pt" w:header="42.50pt" w:footer="28.35pt" w:gutter="0pt"/>
      <w:cols w:space="36pt"/>
      <w:titlePg/>
      <w:docGrid w:linePitch="245" w:charSpace="921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354E4" w:rsidRDefault="002354E4">
      <w:r>
        <w:separator/>
      </w:r>
    </w:p>
  </w:endnote>
  <w:endnote w:type="continuationSeparator" w:id="0">
    <w:p w:rsidR="002354E4" w:rsidRDefault="0023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3F06" w:rsidRDefault="003A3F06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3F06" w:rsidRDefault="003A3F06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3F06" w:rsidRDefault="003A3F06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354E4" w:rsidRDefault="002354E4">
      <w:r>
        <w:separator/>
      </w:r>
    </w:p>
  </w:footnote>
  <w:footnote w:type="continuationSeparator" w:id="0">
    <w:p w:rsidR="002354E4" w:rsidRDefault="002354E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3F06" w:rsidRDefault="00F40C8C">
    <w:pPr>
      <w:pStyle w:val="Kopfzeile"/>
      <w:spacing w:line="12pt" w:lineRule="exact"/>
      <w:jc w:val="center"/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5298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-</w:t>
    </w:r>
  </w:p>
  <w:p w:rsidR="003A3F06" w:rsidRDefault="003A3F06">
    <w:pPr>
      <w:pStyle w:val="Kopfzeile"/>
      <w:spacing w:line="12pt" w:lineRule="exact"/>
      <w:jc w:val="center"/>
      <w:rPr>
        <w:sz w:val="22"/>
      </w:rPr>
    </w:pPr>
  </w:p>
  <w:p w:rsidR="003A3F06" w:rsidRDefault="003A3F06">
    <w:pPr>
      <w:pStyle w:val="Kopfzeile"/>
      <w:spacing w:line="12pt" w:lineRule="exact"/>
      <w:jc w:val="center"/>
      <w:rPr>
        <w:sz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3F06" w:rsidRDefault="00F40C8C">
    <w:pPr>
      <w:pStyle w:val="Kopfzeile"/>
      <w:spacing w:line="12pt" w:lineRule="exact"/>
      <w:jc w:val="center"/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-</w:t>
    </w:r>
  </w:p>
  <w:p w:rsidR="003A3F06" w:rsidRDefault="003A3F06">
    <w:pPr>
      <w:pStyle w:val="Kopfzeile"/>
      <w:spacing w:line="12pt" w:lineRule="exact"/>
      <w:jc w:val="center"/>
      <w:rPr>
        <w:sz w:val="22"/>
      </w:rPr>
    </w:pPr>
  </w:p>
  <w:p w:rsidR="003A3F06" w:rsidRDefault="003A3F06">
    <w:pPr>
      <w:pStyle w:val="Kopfzeile"/>
      <w:spacing w:line="12pt" w:lineRule="exact"/>
      <w:jc w:val="center"/>
      <w:rPr>
        <w:sz w:val="22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3F06" w:rsidRDefault="003A3F06">
    <w:pPr>
      <w:pStyle w:val="Kopfzeile"/>
      <w:spacing w:line="12pt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%"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autoHyphenation/>
  <w:hyphenationZone w:val="21.25pt"/>
  <w:defaultTableStyle w:val="Standard"/>
  <w:evenAndOddHeader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6"/>
    <w:rsid w:val="000553E4"/>
    <w:rsid w:val="002354E4"/>
    <w:rsid w:val="003A3F06"/>
    <w:rsid w:val="00626B63"/>
    <w:rsid w:val="00735836"/>
    <w:rsid w:val="00752983"/>
    <w:rsid w:val="00AB18D4"/>
    <w:rsid w:val="00ED15ED"/>
    <w:rsid w:val="00F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;"/>
  <w14:docId w14:val="42711AF2"/>
  <w15:docId w15:val="{C7BADAC7-FEDC-4D40-BFC1-B3BFB95802A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widowControl w:val="0"/>
      <w:tabs>
        <w:tab w:val="end" w:pos="742.70pt"/>
      </w:tabs>
    </w:pPr>
    <w:rPr>
      <w:rFonts w:ascii="Arial" w:hAnsi="Arial"/>
      <w:lang w:val="de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usammenfassungHauptnderung">
    <w:name w:val="Zusammenfassung Hauptänderung"/>
    <w:rPr>
      <w:b/>
    </w:rPr>
  </w:style>
  <w:style w:type="character" w:customStyle="1" w:styleId="Zusammenfassungnderung">
    <w:name w:val="Zusammenfassung Änderung"/>
  </w:style>
  <w:style w:type="character" w:customStyle="1" w:styleId="Absatz-Standardschriftart1">
    <w:name w:val="Absatz-Standardschriftart1"/>
  </w:style>
  <w:style w:type="character" w:styleId="Funotenzeichen">
    <w:name w:val="footnote reference"/>
    <w:rPr>
      <w:b w:val="0"/>
      <w:shd w:val="clear" w:color="auto" w:fill="auto"/>
      <w:vertAlign w:val="superscript"/>
    </w:rPr>
  </w:style>
  <w:style w:type="character" w:customStyle="1" w:styleId="FootnoteCharacters">
    <w:name w:val="Footnote Characters"/>
    <w:rPr>
      <w:rFonts w:ascii="Arial" w:hAnsi="Arial"/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ZusammenfassungEinleitung">
    <w:name w:val="Zusammenfassung Einleitung"/>
    <w:basedOn w:val="Standard"/>
    <w:pPr>
      <w:keepNext/>
      <w:pBdr>
        <w:top w:val="single" w:sz="4" w:space="7" w:color="000000"/>
        <w:left w:val="none" w:sz="0" w:space="0" w:color="000000"/>
        <w:bottom w:val="none" w:sz="0" w:space="0" w:color="000000"/>
        <w:right w:val="none" w:sz="0" w:space="0" w:color="000000"/>
      </w:pBdr>
      <w:spacing w:after="4.25pt"/>
      <w:ind w:start="62.95pt" w:hanging="62.95pt"/>
    </w:pPr>
    <w:rPr>
      <w:position w:val="2"/>
    </w:rPr>
  </w:style>
  <w:style w:type="paragraph" w:customStyle="1" w:styleId="ZusammenfassungneueErlasse">
    <w:name w:val="Zusammenfassung neue Erlasse"/>
    <w:basedOn w:val="Standard"/>
    <w:pPr>
      <w:keepNext/>
      <w:tabs>
        <w:tab w:val="clear" w:pos="742.70pt"/>
        <w:tab w:val="start" w:pos="125.90pt"/>
      </w:tabs>
      <w:spacing w:line="11.60pt" w:lineRule="exact"/>
      <w:ind w:start="62.95pt" w:hanging="62.95pt"/>
    </w:pPr>
    <w:rPr>
      <w:position w:val="2"/>
    </w:rPr>
  </w:style>
  <w:style w:type="paragraph" w:customStyle="1" w:styleId="ZusammenfassunggenderteErlasse">
    <w:name w:val="Zusammenfassung geänderte Erlasse"/>
    <w:basedOn w:val="ZusammenfassungneueErlasse"/>
  </w:style>
  <w:style w:type="paragraph" w:customStyle="1" w:styleId="ZusammenfassungaufgehobeneErlasse">
    <w:name w:val="Zusammenfassung aufgehobene Erlasse"/>
    <w:basedOn w:val="ZusammenfassungneueErlasse"/>
    <w:pPr>
      <w:pBdr>
        <w:top w:val="none" w:sz="0" w:space="0" w:color="000000"/>
        <w:left w:val="none" w:sz="0" w:space="0" w:color="000000"/>
        <w:bottom w:val="single" w:sz="4" w:space="7" w:color="000000"/>
        <w:right w:val="none" w:sz="0" w:space="0" w:color="000000"/>
      </w:pBdr>
      <w:spacing w:after="6.50pt"/>
    </w:pPr>
  </w:style>
  <w:style w:type="paragraph" w:customStyle="1" w:styleId="Autor">
    <w:name w:val="Autor"/>
    <w:basedOn w:val="Standard"/>
    <w:rPr>
      <w:i/>
      <w:iCs/>
    </w:rPr>
  </w:style>
  <w:style w:type="paragraph" w:customStyle="1" w:styleId="Aktion">
    <w:name w:val="Aktion"/>
    <w:basedOn w:val="Standard"/>
    <w:rPr>
      <w:i/>
      <w:iCs/>
    </w:rPr>
  </w:style>
  <w:style w:type="paragraph" w:customStyle="1" w:styleId="EmptySectionRemark">
    <w:name w:val="Empty_Section_Remark"/>
    <w:basedOn w:val="Standard"/>
    <w:rPr>
      <w:i/>
      <w:iCs/>
    </w:rPr>
  </w:style>
  <w:style w:type="paragraph" w:customStyle="1" w:styleId="StandardvorAufzhlung">
    <w:name w:val="Standard vor Aufzählung"/>
    <w:basedOn w:val="Standard"/>
  </w:style>
  <w:style w:type="paragraph" w:customStyle="1" w:styleId="StandardvorTabelle">
    <w:name w:val="Standard vor Tabelle"/>
    <w:basedOn w:val="Standard"/>
  </w:style>
  <w:style w:type="paragraph" w:customStyle="1" w:styleId="StandardvorBild">
    <w:name w:val="Standard vor Bild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lear" w:pos="742.70pt"/>
        <w:tab w:val="center" w:pos="249.30pt"/>
        <w:tab w:val="end" w:pos="498.60pt"/>
      </w:tabs>
    </w:pPr>
  </w:style>
  <w:style w:type="paragraph" w:styleId="Kopfzeile">
    <w:name w:val="header"/>
    <w:pPr>
      <w:widowControl w:val="0"/>
      <w:tabs>
        <w:tab w:val="end" w:pos="742.70pt"/>
      </w:tabs>
      <w:suppressAutoHyphens/>
    </w:pPr>
    <w:rPr>
      <w:rFonts w:ascii="Arial" w:hAnsi="Arial"/>
      <w:sz w:val="18"/>
      <w:lang w:val="de-CH" w:eastAsia="zh-CN" w:bidi="hi-IN"/>
    </w:rPr>
  </w:style>
  <w:style w:type="paragraph" w:styleId="Fuzeile">
    <w:name w:val="footer"/>
    <w:basedOn w:val="Kopfzeile"/>
  </w:style>
  <w:style w:type="paragraph" w:customStyle="1" w:styleId="Erlasstitel">
    <w:name w:val="Erlasstitel"/>
    <w:basedOn w:val="Standard"/>
    <w:next w:val="Datum1"/>
    <w:pPr>
      <w:keepNext/>
      <w:suppressAutoHyphens/>
      <w:spacing w:before="12pt" w:after="12pt"/>
    </w:pPr>
    <w:rPr>
      <w:b/>
      <w:sz w:val="24"/>
    </w:rPr>
  </w:style>
  <w:style w:type="paragraph" w:customStyle="1" w:styleId="Datum1">
    <w:name w:val="Datum1"/>
    <w:basedOn w:val="Standard"/>
    <w:next w:val="Autor"/>
    <w:pPr>
      <w:keepNext/>
      <w:pBdr>
        <w:top w:val="none" w:sz="0" w:space="0" w:color="000000"/>
        <w:left w:val="none" w:sz="0" w:space="0" w:color="000000"/>
        <w:bottom w:val="single" w:sz="4" w:space="10" w:color="000000"/>
        <w:right w:val="none" w:sz="0" w:space="0" w:color="000000"/>
      </w:pBdr>
      <w:spacing w:after="12pt"/>
      <w:ind w:start="1.40pt" w:end="1.40pt"/>
    </w:pPr>
    <w:rPr>
      <w:position w:val="2"/>
    </w:rPr>
  </w:style>
  <w:style w:type="paragraph" w:customStyle="1" w:styleId="Grundlage">
    <w:name w:val="Grundlage"/>
    <w:basedOn w:val="Standard"/>
    <w:next w:val="Aktion"/>
    <w:pPr>
      <w:spacing w:before="12pt" w:after="2pt"/>
    </w:pPr>
  </w:style>
  <w:style w:type="paragraph" w:customStyle="1" w:styleId="Schluss">
    <w:name w:val="Schluss"/>
    <w:basedOn w:val="Standard"/>
    <w:pPr>
      <w:tabs>
        <w:tab w:val="clear" w:pos="742.70pt"/>
        <w:tab w:val="start" w:pos="306.20pt"/>
      </w:tabs>
      <w:spacing w:before="24pt" w:after="2pt"/>
      <w:ind w:start="153.10pt" w:hanging="153.10pt"/>
    </w:pPr>
  </w:style>
  <w:style w:type="paragraph" w:customStyle="1" w:styleId="Nebenzitat">
    <w:name w:val="Nebenzitat"/>
    <w:basedOn w:val="Standard"/>
  </w:style>
  <w:style w:type="paragraph" w:customStyle="1" w:styleId="Abschnittstitel">
    <w:name w:val="Abschnittstitel"/>
    <w:basedOn w:val="Standard"/>
    <w:pPr>
      <w:keepNext/>
      <w:suppressAutoHyphens/>
    </w:pPr>
    <w:rPr>
      <w:b/>
      <w:sz w:val="22"/>
    </w:rPr>
  </w:style>
  <w:style w:type="paragraph" w:customStyle="1" w:styleId="TitelStufe1">
    <w:name w:val="Titel Stufe 1"/>
    <w:basedOn w:val="Standard"/>
    <w:next w:val="Artikel"/>
    <w:pPr>
      <w:keepNext/>
      <w:suppressAutoHyphens/>
      <w:spacing w:before="18pt"/>
    </w:pPr>
    <w:rPr>
      <w:b/>
      <w:sz w:val="22"/>
    </w:rPr>
  </w:style>
  <w:style w:type="paragraph" w:customStyle="1" w:styleId="TitelStufe2">
    <w:name w:val="Titel Stufe 2"/>
    <w:basedOn w:val="TitelStufe1"/>
    <w:next w:val="Artikel"/>
    <w:rPr>
      <w:b w:val="0"/>
      <w:i/>
    </w:rPr>
  </w:style>
  <w:style w:type="paragraph" w:customStyle="1" w:styleId="TitelStufe3">
    <w:name w:val="Titel Stufe 3"/>
    <w:basedOn w:val="TitelStufe2"/>
    <w:next w:val="Artikel"/>
  </w:style>
  <w:style w:type="paragraph" w:customStyle="1" w:styleId="TitelStufe4">
    <w:name w:val="Titel Stufe 4"/>
    <w:basedOn w:val="TitelStufe2"/>
    <w:next w:val="Artikel"/>
  </w:style>
  <w:style w:type="paragraph" w:customStyle="1" w:styleId="TitelStufe5">
    <w:name w:val="Titel Stufe 5"/>
    <w:basedOn w:val="TitelStufe2"/>
    <w:next w:val="Artikel"/>
  </w:style>
  <w:style w:type="paragraph" w:customStyle="1" w:styleId="TitelStufe1nachTitel">
    <w:name w:val="Titel Stufe 1 nach Titel"/>
    <w:basedOn w:val="TitelStufe1"/>
    <w:next w:val="Artikel"/>
  </w:style>
  <w:style w:type="paragraph" w:customStyle="1" w:styleId="TitelStufe2nachTitel">
    <w:name w:val="Titel Stufe 2 nach Titel"/>
    <w:basedOn w:val="TitelStufe2"/>
    <w:next w:val="Artikel"/>
  </w:style>
  <w:style w:type="paragraph" w:customStyle="1" w:styleId="TitelStufe3nachTitel">
    <w:name w:val="Titel Stufe 3 nach Titel"/>
    <w:basedOn w:val="TitelStufe3"/>
    <w:next w:val="Artikel"/>
  </w:style>
  <w:style w:type="paragraph" w:customStyle="1" w:styleId="TitelStufe4nachTitel">
    <w:name w:val="Titel Stufe 4 nach Titel"/>
    <w:basedOn w:val="TitelStufe4"/>
    <w:next w:val="Artikel"/>
  </w:style>
  <w:style w:type="paragraph" w:customStyle="1" w:styleId="TitelStufe5nachTitel">
    <w:name w:val="Titel Stufe 5 nach Titel"/>
    <w:basedOn w:val="TitelStufe5"/>
    <w:next w:val="Artikel"/>
  </w:style>
  <w:style w:type="paragraph" w:styleId="Textkrper">
    <w:name w:val="Body Text"/>
    <w:basedOn w:val="Standard"/>
    <w:pPr>
      <w:spacing w:after="7pt" w:line="13.80pt" w:lineRule="auto"/>
    </w:pPr>
  </w:style>
  <w:style w:type="paragraph" w:styleId="Kommentartext">
    <w:name w:val="annotation text"/>
    <w:basedOn w:val="Standard"/>
    <w:pPr>
      <w:keepNext/>
      <w:spacing w:line="7.20pt" w:lineRule="exact"/>
    </w:pPr>
    <w:rPr>
      <w:sz w:val="14"/>
    </w:rPr>
  </w:style>
  <w:style w:type="paragraph" w:customStyle="1" w:styleId="Artikel">
    <w:name w:val="Artikel"/>
    <w:basedOn w:val="Standard"/>
    <w:next w:val="Standard"/>
    <w:pPr>
      <w:keepNext/>
      <w:tabs>
        <w:tab w:val="clear" w:pos="742.70pt"/>
        <w:tab w:val="start" w:pos="68pt"/>
      </w:tabs>
      <w:spacing w:before="12pt" w:after="3pt"/>
      <w:ind w:start="34pt" w:hanging="34pt"/>
    </w:pPr>
  </w:style>
  <w:style w:type="paragraph" w:customStyle="1" w:styleId="Artikelaufgehoben">
    <w:name w:val="Artikel (aufgehoben)"/>
    <w:basedOn w:val="Artikel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e1">
    <w:name w:val="Liste 1"/>
    <w:basedOn w:val="Standard"/>
    <w:pPr>
      <w:ind w:start="17pt" w:hanging="17pt"/>
    </w:pPr>
  </w:style>
  <w:style w:type="paragraph" w:customStyle="1" w:styleId="Liste1mitUnterelementen">
    <w:name w:val="Liste 1 mit Unterelementen"/>
    <w:basedOn w:val="Liste1"/>
  </w:style>
  <w:style w:type="paragraph" w:customStyle="1" w:styleId="Liste1mitaufeinanderfolgendenAufhebungen">
    <w:name w:val="Liste 1 mit aufeinanderfolgenden Aufhebungen"/>
    <w:basedOn w:val="Liste1"/>
  </w:style>
  <w:style w:type="paragraph" w:customStyle="1" w:styleId="Liste21">
    <w:name w:val="Liste 21"/>
    <w:basedOn w:val="Liste1"/>
    <w:pPr>
      <w:ind w:start="34pt"/>
    </w:pPr>
  </w:style>
  <w:style w:type="paragraph" w:customStyle="1" w:styleId="Liste2mitaufeinanderfolgendenAufhebungen">
    <w:name w:val="Liste 2 mit aufeinanderfolgenden Aufhebungen"/>
    <w:basedOn w:val="Liste21"/>
  </w:style>
  <w:style w:type="paragraph" w:customStyle="1" w:styleId="Liste31">
    <w:name w:val="Liste 31"/>
    <w:basedOn w:val="Liste21"/>
    <w:pPr>
      <w:ind w:start="51.05pt"/>
    </w:pPr>
  </w:style>
  <w:style w:type="paragraph" w:styleId="Funotentext">
    <w:name w:val="footnote text"/>
    <w:basedOn w:val="Standard"/>
    <w:pPr>
      <w:spacing w:line="9.40pt" w:lineRule="exact"/>
      <w:ind w:start="10.50pt" w:hanging="10.50pt"/>
    </w:pPr>
    <w:rPr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yperlink" Target="https://ar.clex.ch/data/142.3/de" TargetMode="External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Yiii" typeface="Microsoft Yi Baiti"/>
        <a:font script="Syrc" typeface="Estrangelo Edessa"/>
        <a:font script="Hebr" typeface="Times New Roman"/>
        <a:font script="Knda" typeface="Tunga"/>
        <a:font script="Arab" typeface="Times New Roman"/>
        <a:font script="Cans" typeface="Euphemia"/>
        <a:font script="Telu" typeface="Gautami"/>
        <a:font script="Khmr" typeface="MoolBoran"/>
        <a:font script="Viet" typeface="Times New Roman"/>
        <a:font script="Mlym" typeface="Kartika"/>
        <a:font script="Mong" typeface="Mongolian Baiti"/>
        <a:font script="Cher" typeface="Plantagenet Cherokee"/>
        <a:font script="Uigh" typeface="Microsoft Uighur"/>
        <a:font script="Taml" typeface="Latha"/>
        <a:font script="Sinh" typeface="Iskoola Pota"/>
        <a:font script="Gujr" typeface="Shruti"/>
        <a:font script="Jpan" typeface="ＭＳ ゴシック"/>
        <a:font script="Tibt" typeface="Microsoft Himalaya"/>
        <a:font script="Thaa" typeface="MV Boli"/>
        <a:font script="Hang" typeface="맑은 고딕"/>
        <a:font script="Laoo" typeface="DokChampa"/>
        <a:font script="Hant" typeface="新細明體"/>
        <a:font script="Thai" typeface="Angsana New"/>
        <a:font script="Hans" typeface="宋体"/>
        <a:font script="Deva" typeface="Mangal"/>
        <a:font script="Ethi" typeface="Nyala"/>
        <a:font script="Orya" typeface="Kalinga"/>
        <a:font script="Beng" typeface="Vrinda"/>
        <a:font script="Guru" typeface="Raavi"/>
      </a:majorFont>
      <a:minorFont>
        <a:latin typeface="Calibri"/>
        <a:ea typeface=""/>
        <a:cs typeface=""/>
        <a:font script="Yiii" typeface="Microsoft Yi Baiti"/>
        <a:font script="Syrc" typeface="Estrangelo Edessa"/>
        <a:font script="Hebr" typeface="Arial"/>
        <a:font script="Knda" typeface="Tunga"/>
        <a:font script="Arab" typeface="Arial"/>
        <a:font script="Cans" typeface="Euphemia"/>
        <a:font script="Telu" typeface="Gautami"/>
        <a:font script="Khmr" typeface="DaunPenh"/>
        <a:font script="Viet" typeface="Arial"/>
        <a:font script="Mlym" typeface="Kartika"/>
        <a:font script="Mong" typeface="Mongolian Baiti"/>
        <a:font script="Cher" typeface="Plantagenet Cherokee"/>
        <a:font script="Uigh" typeface="Microsoft Uighur"/>
        <a:font script="Taml" typeface="Latha"/>
        <a:font script="Sinh" typeface="Iskoola Pota"/>
        <a:font script="Gujr" typeface="Shruti"/>
        <a:font script="Jpan" typeface="ＭＳ 明朝"/>
        <a:font script="Tibt" typeface="Microsoft Himalaya"/>
        <a:font script="Thaa" typeface="MV Boli"/>
        <a:font script="Hang" typeface="맑은 고딕"/>
        <a:font script="Laoo" typeface="DokChampa"/>
        <a:font script="Hant" typeface="新細明體"/>
        <a:font script="Thai" typeface="Cordia New"/>
        <a:font script="Hans" typeface="宋体"/>
        <a:font script="Deva" typeface="Mangal"/>
        <a:font script="Ethi" typeface="Nyala"/>
        <a:font script="Orya" typeface="Kalinga"/>
        <a:font script="Beng" typeface="Vrinda"/>
        <a:font script="Guru" typeface="Raavi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27D0D04-05B8-452D-8D75-829563E322D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181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Hartmann Sandra</cp:lastModifiedBy>
  <cp:revision>6</cp:revision>
  <dcterms:created xsi:type="dcterms:W3CDTF">2023-11-30T10:02:00Z</dcterms:created>
  <dcterms:modified xsi:type="dcterms:W3CDTF">2023-12-14T15:27:00Z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DocumentType">
    <vt:lpwstr>Synopse</vt:lpwstr>
  </property>
</Properties>
</file>